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crinita</w:t>
      </w:r>
      <w:r>
        <w:t xml:space="preserve"> (Brandegee)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(Brandegee) L.Rico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crinita</w:t>
      </w:r>
      <w:r>
        <w:t xml:space="preserve"> Brandegee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