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shrevei</w:t>
      </w:r>
      <w:r>
        <w:t xml:space="preserve"> (Britton &amp; Rose) Tidestr.</w:t>
      </w:r>
      <w:r w:rsidR="00780DEE" w:rsidRPr="00780DEE">
        <w:rPr>
          <w:i/>
        </w:rPr>
        <w:t xml:space="preserve"> Proc. Biol. Soc. Washington</w:t>
      </w:r>
      <w:proofErr w:type="spellStart"/>
      <w:r w:rsidR="00780DEE">
        <w:t xml:space="preserve"> 48:40</w:t>
      </w:r>
      <w:proofErr w:type="spellEnd"/>
      <w:r w:rsidR="00780DEE">
        <w:t xml:space="preserve"> (1935)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217)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lemmonii</w:t>
      </w:r>
      <w:proofErr w:type="spellEnd"/>
      <w:r>
        <w:t xml:space="preserve"> (Rose)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Acaciella shrevei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