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angustissima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lemmonii</w:t>
      </w:r>
      <w:proofErr w:type="spellEnd"/>
      <w:r>
        <w:t xml:space="preserve"> (Rose) Wiggins</w:t>
      </w:r>
      <w:r w:rsidR="00780DEE" w:rsidRPr="00780DEE">
        <w:rPr>
          <w:i/>
        </w:rPr>
        <w:t xml:space="preserve"> Contr. Dudley Herb.</w:t>
      </w:r>
      <w:proofErr w:type="spellStart"/>
      <w:r w:rsidR="00780DEE">
        <w:t xml:space="preserve"> 3:230</w:t>
      </w:r>
      <w:proofErr w:type="spellEnd"/>
      <w:r w:rsidR="00780DEE">
        <w:t xml:space="preserve"> (1942)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Rico Arce &amp;amp; Bachman (2006: 217)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Acaciella lemmonii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(Rose) Britton &amp; Rose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lemmonii</w:t>
      </w:r>
      <w:r>
        <w:t xml:space="preserve"> Rose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