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tindaleae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11A:347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(2006: 348)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mariae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majore (incl. t. 33A-C, but excl. type and specimen from Queensland cited): fide L. Pedley Austrobaileya 7(2): 348 (2006).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