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martensis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35(3):140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Onaca, Santa Marta, Magdalena, 7 Feb. 1899, H.H. Smith 295a (NY); isotypes: BM, G,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