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anegadensis</w:t>
      </w:r>
      <w:r>
        <w:t xml:space="preserve"> Britton</w:t>
      </w:r>
      <w:r w:rsidR="00780DEE" w:rsidRPr="00780DEE">
        <w:rPr>
          <w:i/>
        </w:rPr>
        <w:t xml:space="preserve"> Mem. New York Bot. Gard.</w:t>
      </w:r>
      <w:proofErr w:type="spellStart"/>
      <w:r w:rsidR="00780DEE">
        <w:t xml:space="preserve"> 6:572</w:t>
      </w:r>
      <w:proofErr w:type="spellEnd"/>
      <w:r w:rsidR="00780DEE">
        <w:t xml:space="preserve"> (1916)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Clarke et al. (2009: 88)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anegadensis</w:t>
      </w:r>
      <w:proofErr w:type="spellEnd"/>
      <w:r>
        <w:t xml:space="preserve"> (Britton)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British Virgin Islands. Anegada: rocky plains, The Settlement, 19–20 Feb. 1913, N.L. Britton &amp; W.C. Fishlock 990 (NY); isotypes: F,, GH, NY, US)</w:t>
      </w:r>
      <w:proofErr w:type="spellEnd"/>
      <w:r w:rsidRPr="009A6983">
        <w:rPr>
          <w:b/>
        </w:rPr>
        <w:t xml:space="preserve"> Source:</w:t>
      </w:r>
      <w:r>
        <w:t xml:space="preserve"> Clarke et al. (2009: 89)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