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barrancana</w:t>
      </w:r>
      <w:r>
        <w:t xml:space="preserve"> (Gentry)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63(2):207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barrancana</w:t>
      </w:r>
      <w:r>
        <w:t xml:space="preserve"> Gentry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barrancana</w:t>
      </w:r>
      <w:r>
        <w:t xml:space="preserve"> Gentry</w:t>
      </w:r>
      <w:r>
        <w:t xml:space="preserve"> (1948)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barrancana</w:t>
      </w:r>
      <w:r>
        <w:t xml:space="preserve"> Gentry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6(3):312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barrancana</w:t>
      </w:r>
      <w:proofErr w:type="spellEnd"/>
      <w:r>
        <w:t xml:space="preserve"> (Gentry)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Durango; Sierra Tres Picos [Cerro Tres Picos, 25º03’ N, 107º00’ W], 20 Dec. 1939, H.S.Gentry 5298 (MICH); isotypes: MEXU, MO, NY,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