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scandens</w:t>
      </w:r>
      <w:r>
        <w:t xml:space="preserve">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:1057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Comes de Hoffmannsegg (B-Willd.)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(L.)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