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quadriglandulosa</w:t>
      </w:r>
      <w:r>
        <w:t xml:space="preserve"> (Mart.) Seigler &amp; Ebinger</w:t>
      </w:r>
      <w:r w:rsidR="00780DEE" w:rsidRPr="00780DEE">
        <w:rPr>
          <w:i/>
        </w:rPr>
        <w:t xml:space="preserve"> Phytologia</w:t>
      </w:r>
      <w:proofErr w:type="spellStart"/>
      <w:r w:rsidR="00780DEE">
        <w:t xml:space="preserve"> 88(1):66</w:t>
      </w:r>
      <w:proofErr w:type="spellEnd"/>
      <w:r w:rsidR="00780DEE">
        <w:t xml:space="preserve"> (2006)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D. Seigler (pers. comm., 2015)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riparia</w:t>
      </w:r>
      <w:proofErr w:type="spellEnd"/>
      <w:r>
        <w:t xml:space="preserve"> (Kunth) Britton &amp; Rose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quadriglandulosa</w:t>
      </w:r>
      <w:r>
        <w:t xml:space="preserve"> Mart.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