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olivensana</w:t>
      </w:r>
      <w:r>
        <w:t xml:space="preserve"> (G.P.Lewis)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olivensana</w:t>
      </w:r>
      <w:r>
        <w:t xml:space="preserve"> G.P.Lewis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olivensana</w:t>
      </w:r>
      <w:r>
        <w:t xml:space="preserve"> G.P.Lewis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olivensana</w:t>
      </w:r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51:372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olivensana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Municipio de Ilhéus, c. 9 km along road from Olivença to Maruim, 9 Oct. 1989, A.M. de Carvalho &amp; S. Faria 2554 (CEPEC); isotypes: K, NY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