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giganticarpa</w:t>
      </w:r>
      <w:r>
        <w:t xml:space="preserve"> (G.P.Lewis)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Ecuador,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var.</w:t>
      </w:r>
      <w:r w:rsidRPr="00815E7D">
        <w:rPr>
          <w:i/>
        </w:rPr>
        <w:t xml:space="preserve"> giganticarpa</w:t>
      </w:r>
      <w:r>
        <w:t xml:space="preserve"> G.P.Lewis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polyphylla</w:t>
      </w:r>
      <w:r w:rsidR="00041308">
        <w:t xml:space="preserve"> var.</w:t>
      </w:r>
      <w:r w:rsidR="00041308" w:rsidRPr="00815E7D">
        <w:rPr>
          <w:i/>
        </w:rPr>
        <w:t xml:space="preserve"> giganticarpa</w:t>
      </w:r>
      <w:r>
        <w:t xml:space="preserve"> G.P.Lewis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giganticarpa</w:t>
      </w:r>
      <w:proofErr w:type="spellEnd"/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51(3):591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giganticarpa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munícipio de Itabuna, about 3 km NW of Juçari, 8 Mar. 1978, S.A. Mori, J.A. Kullunki, &amp; T.D. Pennington 9575 (CEPEC); isotypes: F, K, NY, RB, US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