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skleroxyla</w:t>
      </w:r>
      <w:r>
        <w:t xml:space="preserve"> Tussac</w:t>
      </w:r>
      <w:r w:rsidR="00780DEE" w:rsidRPr="00780DEE">
        <w:rPr>
          <w:i/>
        </w:rPr>
        <w:t xml:space="preserve"> Fl. Antill.</w:t>
      </w:r>
      <w:proofErr w:type="spellStart"/>
      <w:r w:rsidR="00780DEE">
        <w:t xml:space="preserve"> 1:146</w:t>
      </w:r>
      <w:proofErr w:type="spellEnd"/>
      <w:r w:rsidR="00780DEE">
        <w:t xml:space="preserve"> (1808)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(2017: 191); Seigler &amp;amp; Ebinger (2009: 28); Seigler et al. (2014: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skleroxyla</w:t>
      </w:r>
      <w:proofErr w:type="spellEnd"/>
      <w:r>
        <w:t xml:space="preserve"> (Tussac)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Antilles, Santo Domingo. Plate 21 in Tussac (1808)</w:t>
      </w:r>
      <w:proofErr w:type="spellEnd"/>
      <w:r w:rsidRPr="009A6983">
        <w:rPr>
          <w:b/>
        </w:rPr>
        <w:t xml:space="preserve"> Source:</w:t>
      </w:r>
      <w:r>
        <w:t xml:space="preserve"> Seigler et al. (2006: 49); Seigler &amp; Ebinger (2009: 28); Seigler et al. (2014: 103, Fig. 5 on p. 105); Seigler et al. (2017: 191)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169).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