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ricoae</w:t>
      </w:r>
      <w:r>
        <w:t xml:space="preserve"> Bocage &amp; Miotto</w:t>
      </w:r>
      <w:r w:rsidR="00780DEE" w:rsidRPr="00780DEE">
        <w:rPr>
          <w:i/>
        </w:rPr>
        <w:t xml:space="preserve"> Bradea</w:t>
      </w:r>
      <w:proofErr w:type="spellStart"/>
      <w:r w:rsidR="00780DEE">
        <w:t xml:space="preserve"> 11:13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Queiroz (loc. cit.)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ricoae</w:t>
      </w:r>
      <w:proofErr w:type="spellEnd"/>
      <w:r>
        <w:t xml:space="preserve"> (Bocage &amp; Miotto) L.P.Queiroz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