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ferruginea</w:t>
      </w:r>
      <w:r>
        <w:t xml:space="preserve"> (DC.)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92:250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Sanjappa (2000, cited in ILDIS - The International Legume Database &amp; Information Service, Roskov et al. 2005) recorded this species for Goa, however, the species does not occur in that State of India.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SUBCONTINENT: India (Karnataka [N], Dadra-Nagar-Haveli [N], Delhi [U], Andhra Pradesh [N], Kerala [N], Madhya Pradesh [N], Gujarat [N], Maharashtra [N], West Bengal [N], Uttar Pradesh [N], Tamil Nadu [N], Rajasthan [N], Odisha [N]), Sri Lanka [N]. SOUTHEAST ASIA [N]: Myanmar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ferruginea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ferruginea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ferruginea</w:t>
      </w:r>
      <w:r>
        <w:t xml:space="preserve"> Roxb.</w:t>
      </w:r>
      <w:r>
        <w:t xml:space="preserve"> (1814)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ferruginea</w:t>
      </w:r>
      <w:r>
        <w:t xml:space="preserve"> Roxb.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woony</w:t>
      </w:r>
      <w:r>
        <w:t xml:space="preserve"> B.Heyne ex Wall.</w:t>
      </w:r>
      <w:r>
        <w:t xml:space="preserve"> (1831-32)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ferruginea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2:458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Deshpande et al. (2019: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Coromandelia. v.s. hort. Calc."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[In Coromandelia], H.B.C. [Hort. Bot. Calcutta]; Roxburgh s.n. (K, photo!); Roxburgh Icon no 124-495 (CAL)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611); Deshpande et al. (2019: 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ferruginea</w:t>
      </w:r>
      <w:r>
        <w:t xml:space="preserve"> Roxb.</w:t>
      </w:r>
      <w:r w:rsidR="00780DEE" w:rsidRPr="00780DEE">
        <w:rPr>
          <w:i/>
        </w:rPr>
        <w:t xml:space="preserve"> Hort. Bengal.</w:t>
      </w:r>
      <w:proofErr w:type="spellStart"/>
      <w:r w:rsidR="00780DEE">
        <w:t xml:space="preserve"> :41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Sanjappa (1992: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ferruginea</w:t>
      </w:r>
      <w:r>
        <w:t xml:space="preserve"> Roxb.</w:t>
      </w:r>
      <w:r w:rsidR="00780DEE" w:rsidRPr="00780DEE">
        <w:rPr>
          <w:i/>
        </w:rPr>
        <w:t xml:space="preserve"> Fl. Ind. Ed. 1832</w:t>
      </w:r>
      <w:proofErr w:type="spellStart"/>
      <w:r w:rsidR="00780DEE">
        <w:t xml:space="preserve"> 2:561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"Native of the mountains parts of the country"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Rottler (1803).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woony</w:t>
      </w:r>
      <w:r>
        <w:t xml:space="preserve"> B.Heyne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5226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nomen nudum listed under Acacia ferruginea Dec. [DC.]?.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