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angustissima</w:t>
      </w:r>
      <w:r>
        <w:t xml:space="preserve"> (Mill.) Pedley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92:238</w:t>
      </w:r>
      <w:proofErr w:type="spellEnd"/>
      <w:r w:rsidR="00780DEE">
        <w:t xml:space="preserve"> (1986)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Rico Arce &amp;amp; Bachman (2006: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angustissima</w:t>
      </w:r>
      <w:r>
        <w:t xml:space="preserve"> Mill.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