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genistifolia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attenuata</w:t>
      </w:r>
      <w:proofErr w:type="spellEnd"/>
      <w:r>
        <w:t xml:space="preserve"> A.T.Webb</w:t>
      </w:r>
      <w:r w:rsidR="00780DEE" w:rsidRPr="00780DEE">
        <w:rPr>
          <w:i/>
        </w:rPr>
        <w:t xml:space="preserve"> Muelleria</w:t>
      </w:r>
      <w:proofErr w:type="spellStart"/>
      <w:r w:rsidR="00780DEE">
        <w:t xml:space="preserve"> 39:123</w:t>
      </w:r>
      <w:proofErr w:type="spellEnd"/>
      <w:r w:rsidR="00780DEE">
        <w:t xml:space="preserve"> (2021)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Victoria. Gippsland, Raymond, Island, 14 km south-east of Bairnsdale, 37° 55’ S, 147° 45’ E, 27 Sept. 1992, I. Crawford 1890 (MEL1616952); isotypes: CANB, PERTH</w:t>
      </w:r>
      <w:proofErr w:type="spellEnd"/>
      <w:r w:rsidRPr="009A6983">
        <w:rPr>
          <w:b/>
        </w:rPr>
        <w:t xml:space="preserve"> Source:</w:t>
      </w:r>
      <w:r>
        <w:t xml:space="preserve"> Webb et al. (2021: 123-124)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Victoria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3 infraspecific taxa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cuspidata</w:t>
      </w:r>
      <w:r w:rsidR="00041308">
        <w:t xml:space="preserve"> var.</w:t>
      </w:r>
      <w:r w:rsidR="00041308" w:rsidRPr="00815E7D">
        <w:rPr>
          <w:i/>
        </w:rPr>
        <w:t xml:space="preserve"> longifolia</w:t>
      </w:r>
      <w:r>
        <w:t xml:space="preserve"> Benth.</w:t>
      </w:r>
      <w:r>
        <w:t xml:space="preserve"> (1855)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cuspidata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longifolia</w:t>
      </w:r>
      <w:proofErr w:type="spellEnd"/>
      <w:r>
        <w:t xml:space="preserve"> Benth.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26:610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Webb et. al. (2021)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genistifolia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attenuata</w:t>
      </w:r>
      <w:proofErr w:type="spellEnd"/>
      <w:r>
        <w:t xml:space="preserve"> A.T.Webb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“Merriman’s Creek. (F. Müll.)”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Victoria, Merrimans Creek, F. Mueller s.n. (K 791432; iso: MEL500413 &amp; 500414)</w:t>
      </w:r>
      <w:proofErr w:type="spellEnd"/>
      <w:r w:rsidRPr="009A6983">
        <w:rPr>
          <w:b/>
        </w:rPr>
        <w:t xml:space="preserve"> Source:</w:t>
      </w:r>
      <w:r>
        <w:t xml:space="preserve"> Webb et al. (2021: 123)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