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genistifolia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genistifolia</w:t>
      </w:r>
      <w:proofErr w:type="spellEnd"/>
      <w:r>
        <w:t xml:space="preserve"> Link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39:123</w:t>
      </w:r>
      <w:proofErr w:type="spellEnd"/>
      <w:r w:rsidR="00780DEE">
        <w:t xml:space="preserve"> (2021)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genistifolia subsp. attenuata A.T.Webb and  subsp. platyphylla A.T.Webb.</w:t>
      </w:r>
    </w:p>
    <w:p w:rsidR="009A6983" w:rsidRPr="009A6983" w:rsidRDefault="009A6983">
      <w:r>
        <w:rPr>
          <w:b/>
        </w:rPr>
        <w:t>Distribution:</w:t>
      </w:r>
      <w:r>
        <w:t xml:space="preserve"> AUSTRALIA [N]: Australian Capital Territory, New South Wales, South Australia,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genistifolia</w:t>
      </w:r>
      <w:r>
        <w:t xml:space="preserve"> Link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