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oleaeifolia</w:t>
      </w:r>
      <w:r>
        <w:t xml:space="preserve"> Jacques</w:t>
      </w:r>
      <w:r w:rsidR="00780DEE" w:rsidRPr="00780DEE">
        <w:rPr>
          <w:i/>
        </w:rPr>
        <w:t xml:space="preserve"> Ann. Fl. Pomone</w:t>
      </w:r>
      <w:proofErr w:type="spellStart"/>
      <w:r w:rsidR="00780DEE">
        <w:t xml:space="preserve"> 1834-1835:84</w:t>
      </w:r>
      <w:proofErr w:type="spellEnd"/>
      <w:r w:rsidR="00780DEE">
        <w:t xml:space="preserve"> (1835)</w:t>
      </w:r>
    </w:p>
    <w:p w:rsidR="009A6983" w:rsidRPr="009A6983" w:rsidRDefault="009A6983">
      <w:r>
        <w:rPr>
          <w:b/>
        </w:rPr>
        <w:t>Name Status:</w:t>
      </w:r>
      <w:r>
        <w:t xml:space="preserve"> Unresolved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None cited: based on a plant cultivated in Europe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A horticultural entity, identity uncertain. Judging from the protologue it appears to be a member of the Acacia uncinata group (WorldWideWattle).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