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scorpioides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scorpioides</w:t>
      </w:r>
      <w:proofErr w:type="spellEnd"/>
      <w:r>
        <w:t xml:space="preserve"> (L.) W.Wight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74:954, 956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scorpoides var. adstringens &amp; var. pubescens by Chevallier in Bull. Soc. Bot. France 74: 954, 956 (1927).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