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monacantha</w:t>
      </w:r>
      <w:proofErr w:type="spellStart"/>
      <w:r w:rsidRPr="007C1DDC">
        <w:rPr>
          <w:b/>
        </w:rPr>
        <w:t xml:space="preserve"> f.</w:t>
      </w:r>
      <w:proofErr w:type="spellEnd"/>
      <w:proofErr w:type="spellStart"/>
      <w:r w:rsidRPr="007C1DDC">
        <w:rPr>
          <w:b/>
          <w:i/>
        </w:rPr>
        <w:t xml:space="preserve"> monacantha</w:t>
      </w:r>
      <w:proofErr w:type="spellEnd"/>
      <w:r>
        <w:t xml:space="preserve"> Willd.</w:t>
      </w:r>
      <w:r w:rsidR="00780DEE" w:rsidRPr="00780DEE">
        <w:rPr>
          <w:i/>
        </w:rPr>
        <w:t xml:space="preserve"> Legum. Argent., ed. 2</w:t>
      </w:r>
      <w:proofErr w:type="spellStart"/>
      <w:r w:rsidR="00780DEE">
        <w:t xml:space="preserve"> :542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Autonym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monacantha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(Willd.)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Autonym established by publication of Acacia monacantha f. schulziana Burkart.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