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melanoxylon</w:t>
      </w:r>
      <w:proofErr w:type="spellStart"/>
      <w:r w:rsidRPr="007C1DDC">
        <w:rPr>
          <w:b/>
        </w:rPr>
        <w:t xml:space="preserve"> f.</w:t>
      </w:r>
      <w:proofErr w:type="spellEnd"/>
      <w:proofErr w:type="spellStart"/>
      <w:r w:rsidRPr="007C1DDC">
        <w:rPr>
          <w:b/>
          <w:i/>
        </w:rPr>
        <w:t xml:space="preserve"> melanoxylon</w:t>
      </w:r>
      <w:proofErr w:type="spellEnd"/>
      <w:r>
        <w:t xml:space="preserve"> R.Br.</w:t>
      </w:r>
      <w:r w:rsidR="00780DEE" w:rsidRPr="00780DEE">
        <w:rPr>
          <w:i/>
        </w:rPr>
        <w:t xml:space="preserve"> Candollea</w:t>
      </w:r>
      <w:proofErr w:type="spellStart"/>
      <w:r w:rsidR="00780DEE">
        <w:t xml:space="preserve"> 2:376</w:t>
      </w:r>
      <w:proofErr w:type="spellEnd"/>
      <w:r w:rsidR="00780DEE">
        <w:t xml:space="preserve"> (1925)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melanoxylon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R.Br.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melanoxylon f. frutescens Hochr.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