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Faidherbia albida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pseudoglabra</w:t>
      </w:r>
      <w:proofErr w:type="spellEnd"/>
      <w:r>
        <w:t xml:space="preserve"> Nongon.</w:t>
      </w:r>
      <w:r w:rsidR="00780DEE" w:rsidRPr="00780DEE">
        <w:rPr>
          <w:i/>
        </w:rPr>
        <w:t xml:space="preserve"> Bull. Inst. Fondam. Afrique Noire, Sér. A, Sci. Nat.</w:t>
      </w:r>
      <w:proofErr w:type="spellStart"/>
      <w:r w:rsidR="00780DEE">
        <w:t xml:space="preserve"> 39:599</w:t>
      </w:r>
      <w:proofErr w:type="spellEnd"/>
      <w:r w:rsidR="00780DEE">
        <w:t xml:space="preserve"> (1977)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Plants of the World Online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Faidherbia albida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(Delile) A.Chev.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