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f. pedunculata (Willd.) Kuntze 1898.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