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discolor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discolor</w:t>
      </w:r>
      <w:proofErr w:type="spellEnd"/>
      <w:r>
        <w:t xml:space="preserve"> (Andrews) Willd.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1:384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terminalis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(Salisb.) J.F.Macbr.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discolor var. fraseri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