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arabica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arabica</w:t>
      </w:r>
      <w:proofErr w:type="spellEnd"/>
      <w:r>
        <w:t xml:space="preserve"> (Lam.) Willd.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1:500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(L.) P.J.H.Hurter &amp; Mabb.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publication of Acacia arabica var. tomentosa, var. kraussiana, var. nilotica &amp; var. indica by Benth. 1842.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