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auronitens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auronitens</w:t>
      </w:r>
      <w:proofErr w:type="spellEnd"/>
      <w:r>
        <w:t xml:space="preserve"> Lindl.</w:t>
      </w:r>
      <w:r w:rsidR="00780DEE" w:rsidRPr="00780DEE">
        <w:rPr>
          <w:i/>
        </w:rPr>
        <w:t xml:space="preserve"> in L.Diels &amp; E.Pritzel, Bot. Jahrb. Syst.</w:t>
      </w:r>
      <w:proofErr w:type="spellStart"/>
      <w:r w:rsidR="00780DEE">
        <w:t xml:space="preserve"> 35:290</w:t>
      </w:r>
      <w:proofErr w:type="spellEnd"/>
      <w:r w:rsidR="00780DEE">
        <w:t xml:space="preserve"> (1904)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auronitens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Lindl.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auronitens var. mollis E.Pritz. 1904.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