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acinacea</w:t>
      </w:r>
      <w:proofErr w:type="spellEnd"/>
      <w:r>
        <w:t xml:space="preserve"> Lindl.</w:t>
      </w:r>
      <w:r w:rsidR="00780DEE" w:rsidRPr="00780DEE">
        <w:rPr>
          <w:i/>
        </w:rPr>
        <w:t xml:space="preserve"> Index Sem. Hort. Petrop.</w:t>
      </w:r>
      <w:proofErr w:type="spellStart"/>
      <w:r w:rsidR="00780DEE">
        <w:t xml:space="preserve"> :106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acinacea var. brevipedunculata Regel 1867.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