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pennata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hainanennsis</w:t>
      </w:r>
      <w:proofErr w:type="spellEnd"/>
      <w:r>
        <w:t xml:space="preserve"> sens. I.C.Nielsen</w:t>
      </w:r>
      <w:r w:rsidR="00780DEE" w:rsidRPr="00780DEE">
        <w:rPr>
          <w:i/>
        </w:rPr>
        <w:t xml:space="preserve"> Fl. Cambodge, Laos &amp; Vietnam</w:t>
      </w:r>
      <w:proofErr w:type="spellStart"/>
      <w:r w:rsidR="00780DEE">
        <w:t xml:space="preserve"> 19:67</w:t>
      </w:r>
      <w:proofErr w:type="spellEnd"/>
      <w:r w:rsidR="00780DEE">
        <w:t xml:space="preserve"> (1981)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Maslin et al. (2019: 419)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orientalis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Maslin, B.C.Ho, H.Sun &amp; L.Bai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