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pennata</w:t>
      </w:r>
      <w:r>
        <w:t xml:space="preserve"> sens. Merrill</w:t>
      </w:r>
      <w:r w:rsidR="00780DEE" w:rsidRPr="00780DEE">
        <w:rPr>
          <w:i/>
        </w:rPr>
        <w:t xml:space="preserve"> Lingnan Sci. J.</w:t>
      </w:r>
      <w:proofErr w:type="spellStart"/>
      <w:r w:rsidR="00780DEE">
        <w:t xml:space="preserve"> 5:89</w:t>
      </w:r>
      <w:proofErr w:type="spellEnd"/>
      <w:r w:rsidR="00780DEE">
        <w:t xml:space="preserve"> (1927)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Maslin et al. (2019: 419)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orientalis</w:t>
      </w:r>
      <w:proofErr w:type="spellEnd"/>
      <w:r>
        <w:t xml:space="preserve"> Maslin, B.C.Ho, H.Sun &amp; L.Bai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Apart from McClure 9369, the other specimens cited by Merrill under A. pennata were not seen by Maslin et al. (2019: 419).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