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concinna</w:t>
      </w:r>
      <w:r>
        <w:t xml:space="preserve"> sens. Wu</w:t>
      </w:r>
      <w:r w:rsidR="00780DEE" w:rsidRPr="00780DEE">
        <w:rPr>
          <w:i/>
        </w:rPr>
        <w:t xml:space="preserve"> Fl. Kong Kong</w:t>
      </w:r>
      <w:proofErr w:type="spellStart"/>
      <w:r w:rsidR="00780DEE">
        <w:t xml:space="preserve"> 2:42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Maslin et al. (2019: 428)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prominens</w:t>
      </w:r>
      <w:proofErr w:type="spellEnd"/>
      <w:r>
        <w:t xml:space="preserve">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