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simplicifolia</w:t>
      </w:r>
      <w:r>
        <w:t xml:space="preserve"> Macbr.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59:7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Maslin &amp;amp; Thomson (2020, unpublished)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simplex</w:t>
      </w:r>
      <w:proofErr w:type="spellEnd"/>
      <w:r>
        <w:t xml:space="preserve"> (Sparrm.)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based on Mimosa simplicifolia L.f. nom. illeg. MacBride believed he was making a new combination, but the combination had already been made by Druce (1917).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simplex</w:t>
      </w:r>
      <w:r>
        <w:t xml:space="preserve"> Sparrm.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