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paniculata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Grimes 1992). Brazil. Para. Comes de Hoffmansegg (B-Willd. - microfiche IDC. 1389, I. 8, Willd. Cat. No.
19157; F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et al. (2006: 74): "There are two specimens with Cat. No. 19157, both from Hoffmansegg. Grimes (1992) lectotypified A. paniculata based on the flowering specimen; the fruiting specimen is a member of the genus Anadenanthera." Seigler &amp; Ebinger (2015) subsequently formally proposed that A. multipinnata be conserved against A. paniculata but this proposal was rejected (fide Applequist 2016: 1161). Seigler et al. (2006: 34) treated Acacia paniculata Willd. as a synonym of Senegalia tenuifolia (L.) Britton &amp;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