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monacantha</w:t>
      </w:r>
      <w:r>
        <w:t xml:space="preserve"> Willd.</w:t>
      </w:r>
      <w:r w:rsidR="00780DEE" w:rsidRPr="00780DEE">
        <w:rPr>
          <w:i/>
        </w:rPr>
        <w:t xml:space="preserve"> Enum. Pl.</w:t>
      </w:r>
      <w:proofErr w:type="spellStart"/>
      <w:r w:rsidR="00780DEE">
        <w:t xml:space="preserve"> :1056</w:t>
      </w:r>
      <w:proofErr w:type="spellEnd"/>
      <w:r w:rsidR="00780DEE">
        <w:t xml:space="preserve"> (1809)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59)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monacantha</w:t>
      </w:r>
      <w:proofErr w:type="spellEnd"/>
      <w:r>
        <w:t xml:space="preserve"> (Willd.)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Brazil. Comes de Hoffmannsegg (B-Willd.)</w:t>
      </w:r>
      <w:proofErr w:type="spellEnd"/>
      <w:r w:rsidRPr="009A6983">
        <w:rPr>
          <w:b/>
        </w:rPr>
        <w:t xml:space="preserve"> Source:</w:t>
      </w:r>
      <w:r>
        <w:t xml:space="preserve"> Seigler et al. (2006: 59)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