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procera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roxburghiana</w:t>
      </w:r>
      <w:proofErr w:type="spellEnd"/>
      <w:r>
        <w:t xml:space="preserve"> E.Fourn.</w:t>
      </w:r>
      <w:r w:rsidR="00780DEE" w:rsidRPr="00780DEE">
        <w:rPr>
          <w:i/>
        </w:rPr>
        <w:t xml:space="preserve"> Ann. Sci. Nat., Bot., ser. 4</w:t>
      </w:r>
      <w:proofErr w:type="spellStart"/>
      <w:r w:rsidR="00780DEE">
        <w:t xml:space="preserve"> 15:164</w:t>
      </w:r>
      <w:proofErr w:type="spellEnd"/>
      <w:r w:rsidR="00780DEE">
        <w:t xml:space="preserve"> (1861)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Nielsen (1992: 79)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Albizia procera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(Roxb.)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elata</w:t>
      </w:r>
      <w:r>
        <w:t xml:space="preserve"> (Roxb.) Voigt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