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normalis</w:t>
      </w:r>
      <w:r>
        <w:t xml:space="preserve"> E.Miège</w:t>
      </w:r>
      <w:r w:rsidR="00780DEE" w:rsidRPr="00780DEE">
        <w:rPr>
          <w:i/>
        </w:rPr>
        <w:t xml:space="preserve"> Rev. Int. Bot. Appl. Agric. Colon.</w:t>
      </w:r>
      <w:proofErr w:type="spellStart"/>
      <w:r w:rsidR="00780DEE">
        <w:t xml:space="preserve"> 75:737</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3A515D" w:rsidRPr="009A6983" w:rsidRDefault="003A515D" w:rsidP="009A6983">
      <w:r w:rsidRPr="003A515D">
        <w:rPr>
          <w:b/>
        </w:rPr>
        <w:t>Notes:</w:t>
      </w:r>
      <w:r>
        <w:t xml:space="preserve"> This name appeared in Miège's paper 'Caractères distinctifs des Acacia mollissima et normalis', Rev. Int. Bot. Appl. Agric. Colon. 75: 735 (1927). In the title the taxon appeared to be accorded specific rank, but the body of the paper makes it clear that Miège was discussing two varieties of Acacia decurrens, for which he used the names var. mollissima Benth. and var. normalis, Bentham's Type variety.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