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etilis</w:t>
      </w:r>
      <w:r>
        <w:t xml:space="preserve"> Speg.</w:t>
      </w:r>
      <w:r w:rsidR="00780DEE" w:rsidRPr="00780DEE">
        <w:rPr>
          <w:i/>
        </w:rPr>
        <w:t xml:space="preserve"> Revista Argent. Bot.</w:t>
      </w:r>
      <w:proofErr w:type="spellStart"/>
      <w:r w:rsidR="00780DEE">
        <w:t xml:space="preserve"> 1:75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etilis</w:t>
      </w:r>
      <w:proofErr w:type="spellEnd"/>
      <w:r>
        <w:t xml:space="preserve"> (Speg.)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Argentina. Salta. In dumetis circa Tartagal, Feb. 1923, P.L. Hauman s.n. (LP)</w:t>
      </w:r>
      <w:proofErr w:type="spellEnd"/>
      <w:r w:rsidRPr="009A6983">
        <w:rPr>
          <w:b/>
        </w:rPr>
        <w:t xml:space="preserve"> Source:</w:t>
      </w:r>
      <w:r>
        <w:t xml:space="preserve"> Seigler et al. (2006: 51)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