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torta</w:t>
      </w:r>
      <w:r>
        <w:t xml:space="preserve"> (Roxb.) Ali</w:t>
      </w:r>
      <w:r w:rsidR="00780DEE" w:rsidRPr="00780DEE">
        <w:rPr>
          <w:i/>
        </w:rPr>
        <w:t xml:space="preserve"> Pakistan J. Bot.</w:t>
      </w:r>
      <w:proofErr w:type="spellStart"/>
      <w:r w:rsidR="00780DEE">
        <w:t xml:space="preserve"> 46(1):4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Deshpande et al. (2019: 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torta</w:t>
      </w:r>
      <w:proofErr w:type="spellEnd"/>
      <w:r>
        <w:t xml:space="preserve"> (Roxb.) Maslin,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torta</w:t>
      </w:r>
      <w:r>
        <w:t xml:space="preserve"> (Roxb.) Craib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