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centralis</w:t>
      </w:r>
      <w:r>
        <w:t xml:space="preserve"> (Britton &amp; Rose) Lundell</w:t>
      </w:r>
      <w:r w:rsidR="00780DEE" w:rsidRPr="00780DEE">
        <w:rPr>
          <w:i/>
        </w:rPr>
        <w:t xml:space="preserve"> Contr. Univ. Michigan Herb.</w:t>
      </w:r>
      <w:proofErr w:type="spellStart"/>
      <w:r w:rsidR="00780DEE">
        <w:t xml:space="preserve"> 4:7</w:t>
      </w:r>
      <w:proofErr w:type="spellEnd"/>
      <w:r w:rsidR="00780DEE">
        <w:t xml:space="preserve"> (1940)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(2006a: 417)  &amp;amp; (2023: 33)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Mariosousa centralis</w:t>
      </w:r>
      <w:proofErr w:type="spellEnd"/>
      <w:r>
        <w:t xml:space="preserve"> (Britton &amp; Rose)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Senegalia centralis</w:t>
      </w:r>
      <w:r>
        <w:t xml:space="preserve">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