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acradenia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272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umbellata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Gulf of Carpentaria, F. Mueller 10 and Iconogr. Austral. Acacia dec. 11 [pl. 4] (1888), as to fruiting specimen, fide L. Pedley op. cit. 137.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