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squamata</w:t>
      </w:r>
      <w:r>
        <w:t xml:space="preserve"> Morren</w:t>
      </w:r>
      <w:r w:rsidR="00780DEE" w:rsidRPr="00780DEE">
        <w:rPr>
          <w:i/>
        </w:rPr>
        <w:t xml:space="preserve"> Ann. Soc. Roy. Agric. Gand</w:t>
      </w:r>
      <w:proofErr w:type="spellStart"/>
      <w:r w:rsidR="00780DEE">
        <w:t xml:space="preserve"> 3:209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squamata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Le pied qui a servi de modele a la planche provient de la collection de M.C. Glym, horticulteur a Utrecht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427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Lindl. (1839).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