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drepanocarpa</w:t>
      </w:r>
      <w:r>
        <w:t xml:space="preserve"> sens. Benth.</w:t>
      </w:r>
      <w:r w:rsidR="00780DEE" w:rsidRPr="00780DEE">
        <w:rPr>
          <w:i/>
        </w:rPr>
        <w:t xml:space="preserve"> Fl. Austral.</w:t>
      </w:r>
      <w:proofErr w:type="spellStart"/>
      <w:r w:rsidR="00780DEE">
        <w:t xml:space="preserve"> 2:402</w:t>
      </w:r>
      <w:proofErr w:type="spellEnd"/>
      <w:r w:rsidR="00780DEE">
        <w:t xml:space="preserve"> (1864)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Fl. Australia 11B: 257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polyadenia</w:t>
      </w:r>
      <w:proofErr w:type="spellEnd"/>
      <w:r>
        <w:t xml:space="preserve"> (Pedley) Pedley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Misapplied pro parte, as to the Henne specimens cited, fide L. Pedley, Austrobaileya 2: 322 (1987).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