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tanjorensis</w:t>
      </w:r>
      <w:r>
        <w:t xml:space="preserve"> Ragup., Thoth. &amp; A.Mahad.</w:t>
      </w:r>
      <w:r w:rsidR="00780DEE" w:rsidRPr="00780DEE">
        <w:rPr>
          <w:i/>
        </w:rPr>
        <w:t xml:space="preserve"> J. Econ. Taxon. Bot.</w:t>
      </w:r>
      <w:proofErr w:type="spellStart"/>
      <w:r w:rsidR="00780DEE">
        <w:t xml:space="preserve"> 14:751</w:t>
      </w:r>
      <w:proofErr w:type="spellEnd"/>
      <w:r w:rsidR="00780DEE">
        <w:t xml:space="preserve"> (1990)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Deshpande et al. (2019: 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tanjorensis</w:t>
      </w:r>
      <w:proofErr w:type="spellEnd"/>
      <w:r>
        <w:t xml:space="preserve"> (Ragup., Thoth. &amp; A.Mahad.) Kottaim.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"Kodiakkarai, Thanjavu District, [India], 03.02.1987, Ragupathy 264 (MH); isotype: Ragupathy 264A (CAL)."</w:t>
      </w:r>
      <w:proofErr w:type="spellEnd"/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