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trachycarpa</w:t>
      </w:r>
      <w:r>
        <w:t xml:space="preserve"> E.Pritz.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35:308</w:t>
      </w:r>
      <w:proofErr w:type="spellEnd"/>
      <w:r w:rsidR="00780DEE">
        <w:t xml:space="preserve"> (1904)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11B: 217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arida</w:t>
      </w:r>
      <w:proofErr w:type="spellEnd"/>
      <w:r>
        <w:t xml:space="preserve"> Benth.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not as to lectotype, as to paralectotype: near Roebourne, W.A., 18 Apr. 1901, E. Pritzel 279 (B, DBN, E, K, L, M, P, PR), fide B.R. Maslin, Nuytsia 4: 89 (1982).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