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nyssophylla</w:t>
      </w:r>
      <w:r>
        <w:t xml:space="preserve"> F.Muell.</w:t>
      </w:r>
      <w:r w:rsidR="00780DEE" w:rsidRPr="00780DEE">
        <w:rPr>
          <w:i/>
        </w:rPr>
        <w:t xml:space="preserve"> Fragm.</w:t>
      </w:r>
      <w:proofErr w:type="spellStart"/>
      <w:r w:rsidR="00780DEE">
        <w:t xml:space="preserve"> 4:4</w:t>
      </w:r>
      <w:proofErr w:type="spellEnd"/>
      <w:r w:rsidR="00780DEE">
        <w:t xml:space="preserve"> (1863)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pro parte   Source. Fl. Australia 11B: 68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colletioides</w:t>
      </w:r>
      <w:proofErr w:type="spellEnd"/>
      <w:r>
        <w:t xml:space="preserve"> Benth.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not as to lectotype, as to Lake Gairdner, S.A., B.H.Babbage, MEL, PERTH - fragment ex MEL.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