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ochracea</w:t>
      </w:r>
      <w:r>
        <w:t xml:space="preserve"> Thulin &amp; Hassan</w:t>
      </w:r>
      <w:r w:rsidR="00780DEE" w:rsidRPr="00780DEE">
        <w:rPr>
          <w:i/>
        </w:rPr>
        <w:t xml:space="preserve"> Nordic J. Bot.</w:t>
      </w:r>
      <w:proofErr w:type="spellStart"/>
      <w:r w:rsidR="00780DEE">
        <w:t xml:space="preserve"> 10:477</w:t>
      </w:r>
      <w:proofErr w:type="spellEnd"/>
      <w:r w:rsidR="00780DEE">
        <w:t xml:space="preserve"> (1990)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509)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ochracea</w:t>
      </w:r>
      <w:proofErr w:type="spellEnd"/>
      <w:r>
        <w:t xml:space="preserve"> (Thulin &amp; Hassan)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Somalia, Gedo and Bay, 7 km on the road between Awdiinle and Qansaxdheere, Hassan 127 (FHO); isotype: MOG</w:t>
      </w:r>
      <w:proofErr w:type="spellEnd"/>
      <w:r w:rsidRPr="009A6983">
        <w:rPr>
          <w:b/>
        </w:rPr>
        <w:t xml:space="preserve"> Source:</w:t>
      </w:r>
      <w:r>
        <w:t xml:space="preserve"> Kyalangalilwa et al. (2013: 509); Thulin (1993: 373)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