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floribunda</w:t>
      </w:r>
      <w:r>
        <w:t xml:space="preserve"> hort. ex Nicholson</w:t>
      </w:r>
      <w:r w:rsidR="00780DEE" w:rsidRPr="00780DEE">
        <w:rPr>
          <w:i/>
        </w:rPr>
        <w:t xml:space="preserve"> Ill. Dict. Gard., Century Suppl.</w:t>
      </w:r>
      <w:proofErr w:type="spellStart"/>
      <w:r w:rsidR="00780DEE">
        <w:t xml:space="preserve"> :4</w:t>
      </w:r>
      <w:proofErr w:type="spellEnd"/>
      <w:r w:rsidR="00780DEE">
        <w:t xml:space="preserve"> (1900)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O'Leary (2007: 103)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provincialis</w:t>
      </w:r>
      <w:proofErr w:type="spellEnd"/>
      <w:r>
        <w:t xml:space="preserve"> A.Camus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syn. sub A. retinodes non A. floribunda (Vent.) Willd. (1806).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