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10: 166, 1995): Swan River, W.A., 1839, J. Drummond s.n. (CGE); isolectotypes: CGE, K. Remaining syntypes: see A. applanata.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