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diptera</w:t>
      </w:r>
      <w:r>
        <w:t xml:space="preserve"> Lindl.</w:t>
      </w:r>
      <w:r w:rsidR="00780DEE" w:rsidRPr="00780DEE">
        <w:rPr>
          <w:i/>
        </w:rPr>
        <w:t xml:space="preserve"> Sketch Veg. Swan R.</w:t>
      </w:r>
      <w:proofErr w:type="spellStart"/>
      <w:r w:rsidR="00780DEE">
        <w:t xml:space="preserve"> :xv</w:t>
      </w:r>
      <w:proofErr w:type="spellEnd"/>
      <w:r w:rsidR="00780DEE">
        <w:t xml:space="preserve"> (1839)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Fl. Australia 11A: 436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applanata</w:t>
      </w:r>
      <w:proofErr w:type="spellEnd"/>
      <w:r>
        <w:t xml:space="preserve"> Maslin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parte, not as to lectotype, fide B.R. Maslin, Nuytsia 10: 158 (1995).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