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moggii</w:t>
      </w:r>
      <w:r>
        <w:t xml:space="preserve"> Thulin &amp; Tardelli</w:t>
      </w:r>
      <w:r w:rsidR="00780DEE" w:rsidRPr="00780DEE">
        <w:rPr>
          <w:i/>
        </w:rPr>
        <w:t xml:space="preserve"> Willdenowia</w:t>
      </w:r>
      <w:proofErr w:type="spellStart"/>
      <w:r w:rsidR="00780DEE">
        <w:t xml:space="preserve"> 17:125</w:t>
      </w:r>
      <w:proofErr w:type="spellEnd"/>
      <w:r w:rsidR="00780DEE">
        <w:t xml:space="preserve"> (1988)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moggii</w:t>
      </w:r>
      <w:proofErr w:type="spellEnd"/>
      <w:r>
        <w:t xml:space="preserve"> (Thulin &amp; Tardelli)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Somalia, Hiran Region, 320 km on the Mogadisho-Belet Uein road, Moggi, Tardelli &amp; Warfa 54 (FT); isotypes: B, FT, UPS</w:t>
      </w:r>
      <w:proofErr w:type="spellEnd"/>
      <w:r w:rsidRPr="009A6983">
        <w:rPr>
          <w:b/>
        </w:rPr>
        <w:t xml:space="preserve"> Source:</w:t>
      </w:r>
      <w:r>
        <w:t xml:space="preserve"> Kyalangalilwa et al. (2013: 509); Thulin (1993: 372)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