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biflora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chrysocephala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L. Preiss 963 (LUND, NY) and 966 (MEL).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